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一流专业建设点核心课程建设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中期检查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青岛农业大学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sz w:val="32"/>
          <w:szCs w:val="32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具有防伪标识的申报书及申报材料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由推荐单位</w:t>
      </w:r>
      <w:r>
        <w:rPr>
          <w:rFonts w:ascii="Times New Roman" w:hAnsi="Times New Roman" w:eastAsia="仿宋_GB2312" w:cs="Times New Roman"/>
          <w:sz w:val="32"/>
          <w:szCs w:val="32"/>
        </w:rPr>
        <w:t>打印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留存备查</w:t>
      </w:r>
      <w:r>
        <w:rPr>
          <w:rFonts w:ascii="Times New Roman" w:hAnsi="Times New Roman" w:eastAsia="仿宋_GB2312" w:cs="Times New Roman"/>
          <w:sz w:val="32"/>
          <w:szCs w:val="32"/>
        </w:rPr>
        <w:t>，国家级评审以网络提交的电子版为准。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pStyle w:val="8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建设方式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校内自建课程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引进课程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年课程的持续建设计划、需要进一步解决的问题，改革方向和改进措施等）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课程建设进度或在线课程引用证明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校内自建课程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需提供课程录制证明材料（录制课程名、录制时长等截图） </w:t>
            </w:r>
          </w:p>
          <w:p>
            <w:pPr>
              <w:pStyle w:val="8"/>
              <w:spacing w:line="340" w:lineRule="atLeast"/>
              <w:ind w:firstLine="48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引进国家级精品在线开放课程的课程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需提供平台使用数据及学生学习数据。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课程评价改革支撑材料（如过程性评价设计、学生成果等）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课程改革前后的教案及对比分析。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课程改革支撑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zQ4NThkM2FlNWIyZmU0MWYwNzhmMzA4MGEyZDkifQ=="/>
  </w:docVars>
  <w:rsids>
    <w:rsidRoot w:val="00314882"/>
    <w:rsid w:val="00112D6D"/>
    <w:rsid w:val="0015272F"/>
    <w:rsid w:val="00191D62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266D7073"/>
    <w:rsid w:val="27FF31A9"/>
    <w:rsid w:val="2A0037A9"/>
    <w:rsid w:val="2A0B797C"/>
    <w:rsid w:val="3235635A"/>
    <w:rsid w:val="36C51DAC"/>
    <w:rsid w:val="3B3C0217"/>
    <w:rsid w:val="3B6100A5"/>
    <w:rsid w:val="3EAB5075"/>
    <w:rsid w:val="3EAB7837"/>
    <w:rsid w:val="45AC63EA"/>
    <w:rsid w:val="4E1659BD"/>
    <w:rsid w:val="55137824"/>
    <w:rsid w:val="57525990"/>
    <w:rsid w:val="576F47C5"/>
    <w:rsid w:val="579977EE"/>
    <w:rsid w:val="59A4008F"/>
    <w:rsid w:val="5C1E0D18"/>
    <w:rsid w:val="5D4474E1"/>
    <w:rsid w:val="5D981338"/>
    <w:rsid w:val="5ED7385A"/>
    <w:rsid w:val="5FFC2C27"/>
    <w:rsid w:val="669F78D6"/>
    <w:rsid w:val="6E442E2F"/>
    <w:rsid w:val="71DC79B8"/>
    <w:rsid w:val="73D930AF"/>
    <w:rsid w:val="740658A8"/>
    <w:rsid w:val="79B5584B"/>
    <w:rsid w:val="7B873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947</Words>
  <Characters>968</Characters>
  <Lines>18</Lines>
  <Paragraphs>5</Paragraphs>
  <TotalTime>3</TotalTime>
  <ScaleCrop>false</ScaleCrop>
  <LinksUpToDate>false</LinksUpToDate>
  <CharactersWithSpaces>1020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2021-04-09T17:45:00Z</dcterms:created>
  <dc:creator>hep</dc:creator>
  <cp:lastModifiedBy>赵</cp:lastModifiedBy>
  <dcterms:modified xsi:type="dcterms:W3CDTF">2022-09-08T03:19:26Z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D19A748CB0FB410A85E6C95AA00E010A</vt:lpwstr>
  </property>
</Properties>
</file>